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42B8F" w14:textId="77777777" w:rsidR="002135EE" w:rsidRPr="002135EE" w:rsidRDefault="002135EE" w:rsidP="00501481">
      <w:pPr>
        <w:jc w:val="center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2135EE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2024 </w:t>
      </w:r>
      <w:r w:rsidR="00501481" w:rsidRPr="002135EE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ASRC Safety Review </w:t>
      </w:r>
    </w:p>
    <w:p w14:paraId="3F0875DA" w14:textId="0507293B" w:rsidR="00EF087E" w:rsidRPr="002135EE" w:rsidRDefault="002135EE" w:rsidP="00501481">
      <w:pPr>
        <w:jc w:val="center"/>
        <w:rPr>
          <w:rFonts w:ascii="Times New Roman" w:hAnsi="Times New Roman" w:cs="Times New Roman"/>
          <w:sz w:val="32"/>
          <w:szCs w:val="32"/>
        </w:rPr>
      </w:pPr>
      <w:r w:rsidRPr="002135EE">
        <w:rPr>
          <w:rFonts w:ascii="Times New Roman" w:hAnsi="Times New Roman" w:cs="Times New Roman"/>
          <w:sz w:val="32"/>
          <w:szCs w:val="32"/>
        </w:rPr>
        <w:t>(</w:t>
      </w:r>
      <w:r w:rsidR="00501481" w:rsidRPr="002135EE">
        <w:rPr>
          <w:rFonts w:ascii="Times New Roman" w:hAnsi="Times New Roman" w:cs="Times New Roman"/>
          <w:sz w:val="32"/>
          <w:szCs w:val="32"/>
        </w:rPr>
        <w:t>Policy Related Issues</w:t>
      </w:r>
      <w:r>
        <w:rPr>
          <w:rFonts w:ascii="Times New Roman" w:hAnsi="Times New Roman" w:cs="Times New Roman"/>
          <w:sz w:val="32"/>
          <w:szCs w:val="32"/>
        </w:rPr>
        <w:t xml:space="preserve"> to Address)</w:t>
      </w:r>
    </w:p>
    <w:p w14:paraId="57C1169E" w14:textId="3D241F37" w:rsidR="00501481" w:rsidRPr="00F614AF" w:rsidRDefault="00501481" w:rsidP="00501481">
      <w:pPr>
        <w:rPr>
          <w:rFonts w:ascii="Times New Roman" w:hAnsi="Times New Roman" w:cs="Times New Roman"/>
          <w:szCs w:val="24"/>
        </w:rPr>
      </w:pPr>
      <w:r w:rsidRPr="00F614AF">
        <w:rPr>
          <w:rFonts w:ascii="Times New Roman" w:hAnsi="Times New Roman" w:cs="Times New Roman"/>
          <w:szCs w:val="24"/>
        </w:rPr>
        <w:t xml:space="preserve">As ASRC is becoming fully occupied and operational after the COVID 19 Pandemic, research is </w:t>
      </w:r>
      <w:r w:rsidR="00551520">
        <w:rPr>
          <w:rFonts w:ascii="Times New Roman" w:hAnsi="Times New Roman" w:cs="Times New Roman"/>
          <w:szCs w:val="24"/>
        </w:rPr>
        <w:t>now at full scale and speed. Therefore, there</w:t>
      </w:r>
      <w:r w:rsidRPr="00F614AF">
        <w:rPr>
          <w:rFonts w:ascii="Times New Roman" w:hAnsi="Times New Roman" w:cs="Times New Roman"/>
          <w:szCs w:val="24"/>
        </w:rPr>
        <w:t xml:space="preserve"> is a need to review several safety and </w:t>
      </w:r>
      <w:r w:rsidR="00566EA8" w:rsidRPr="00F614AF">
        <w:rPr>
          <w:rFonts w:ascii="Times New Roman" w:hAnsi="Times New Roman" w:cs="Times New Roman"/>
          <w:szCs w:val="24"/>
        </w:rPr>
        <w:t>policy-related</w:t>
      </w:r>
      <w:r w:rsidRPr="00F614AF">
        <w:rPr>
          <w:rFonts w:ascii="Times New Roman" w:hAnsi="Times New Roman" w:cs="Times New Roman"/>
          <w:szCs w:val="24"/>
        </w:rPr>
        <w:t xml:space="preserve"> issues</w:t>
      </w:r>
      <w:r w:rsidR="00566EA8" w:rsidRPr="00F614AF">
        <w:rPr>
          <w:rFonts w:ascii="Times New Roman" w:hAnsi="Times New Roman" w:cs="Times New Roman"/>
          <w:szCs w:val="24"/>
        </w:rPr>
        <w:t xml:space="preserve"> that </w:t>
      </w:r>
      <w:r w:rsidR="00551520">
        <w:rPr>
          <w:rFonts w:ascii="Times New Roman" w:hAnsi="Times New Roman" w:cs="Times New Roman"/>
          <w:szCs w:val="24"/>
        </w:rPr>
        <w:t>may not be</w:t>
      </w:r>
      <w:r w:rsidR="00566EA8" w:rsidRPr="00F614AF">
        <w:rPr>
          <w:rFonts w:ascii="Times New Roman" w:hAnsi="Times New Roman" w:cs="Times New Roman"/>
          <w:szCs w:val="24"/>
        </w:rPr>
        <w:t xml:space="preserve"> adhered to.</w:t>
      </w:r>
    </w:p>
    <w:p w14:paraId="4497ECA7" w14:textId="2A8DC577" w:rsidR="00566EA8" w:rsidRPr="00F614AF" w:rsidRDefault="00566EA8" w:rsidP="00F74737">
      <w:pPr>
        <w:tabs>
          <w:tab w:val="left" w:pos="5850"/>
        </w:tabs>
        <w:rPr>
          <w:rFonts w:ascii="Times New Roman" w:hAnsi="Times New Roman" w:cs="Times New Roman"/>
          <w:b/>
          <w:bCs/>
          <w:szCs w:val="24"/>
          <w:u w:val="single"/>
        </w:rPr>
      </w:pPr>
      <w:r w:rsidRPr="00F614AF">
        <w:rPr>
          <w:rFonts w:ascii="Times New Roman" w:hAnsi="Times New Roman" w:cs="Times New Roman"/>
          <w:b/>
          <w:bCs/>
          <w:szCs w:val="24"/>
          <w:u w:val="single"/>
        </w:rPr>
        <w:t>Fire &amp; Life Safety Related</w:t>
      </w:r>
    </w:p>
    <w:p w14:paraId="1B6F5AAE" w14:textId="100D5BB0" w:rsidR="00566EA8" w:rsidRPr="00F614AF" w:rsidRDefault="00F74737" w:rsidP="00F74737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7B307C">
        <w:rPr>
          <w:rFonts w:ascii="Times New Roman" w:hAnsi="Times New Roman" w:cs="Times New Roman"/>
          <w:b/>
          <w:bCs/>
          <w:szCs w:val="24"/>
          <w:u w:val="single"/>
        </w:rPr>
        <w:t>Routes of egress</w:t>
      </w:r>
      <w:r w:rsidRPr="00F614AF">
        <w:rPr>
          <w:rFonts w:ascii="Times New Roman" w:hAnsi="Times New Roman" w:cs="Times New Roman"/>
          <w:szCs w:val="24"/>
        </w:rPr>
        <w:t xml:space="preserve"> – Emergency Evacuation </w:t>
      </w:r>
    </w:p>
    <w:p w14:paraId="6EAE02FF" w14:textId="1B3DF8D4" w:rsidR="00153FF0" w:rsidRDefault="00F74737" w:rsidP="00FE07E7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Cs w:val="24"/>
        </w:rPr>
      </w:pPr>
      <w:r w:rsidRPr="00551520">
        <w:rPr>
          <w:rFonts w:ascii="Times New Roman" w:hAnsi="Times New Roman" w:cs="Times New Roman"/>
          <w:szCs w:val="24"/>
        </w:rPr>
        <w:t xml:space="preserve">LER related – The linear equipment corridor is becoming increasingly populated with equipment to the </w:t>
      </w:r>
      <w:r w:rsidR="007B307C" w:rsidRPr="00551520">
        <w:rPr>
          <w:rFonts w:ascii="Times New Roman" w:hAnsi="Times New Roman" w:cs="Times New Roman"/>
          <w:szCs w:val="24"/>
        </w:rPr>
        <w:t>point</w:t>
      </w:r>
      <w:r w:rsidR="00153FF0" w:rsidRPr="00551520">
        <w:rPr>
          <w:rFonts w:ascii="Times New Roman" w:hAnsi="Times New Roman" w:cs="Times New Roman"/>
          <w:szCs w:val="24"/>
        </w:rPr>
        <w:t xml:space="preserve"> where</w:t>
      </w:r>
      <w:r w:rsidRPr="00551520">
        <w:rPr>
          <w:rFonts w:ascii="Times New Roman" w:hAnsi="Times New Roman" w:cs="Times New Roman"/>
          <w:szCs w:val="24"/>
        </w:rPr>
        <w:t xml:space="preserve"> the FDNY inspector is now citing us for obstruction.  Furthermore, equipment is beginning to infringe on </w:t>
      </w:r>
      <w:r w:rsidR="00153FF0" w:rsidRPr="00551520">
        <w:rPr>
          <w:rFonts w:ascii="Times New Roman" w:hAnsi="Times New Roman" w:cs="Times New Roman"/>
          <w:szCs w:val="24"/>
        </w:rPr>
        <w:t>doors</w:t>
      </w:r>
      <w:r w:rsidR="008129AB" w:rsidRPr="00551520">
        <w:rPr>
          <w:rFonts w:ascii="Times New Roman" w:hAnsi="Times New Roman" w:cs="Times New Roman"/>
          <w:szCs w:val="24"/>
        </w:rPr>
        <w:t xml:space="preserve"> to labs, stairwells, safety showers, fire extinguishers, etc.  If you are going to bring new equipment into the building you must assess the appropriate location for it prior to bringing it in</w:t>
      </w:r>
      <w:r w:rsidR="00551520" w:rsidRPr="00551520">
        <w:rPr>
          <w:rFonts w:ascii="Times New Roman" w:hAnsi="Times New Roman" w:cs="Times New Roman"/>
          <w:szCs w:val="24"/>
        </w:rPr>
        <w:t>; please reach out to Steven Waxman before bringing in the new equipment to the building for help with this assessment</w:t>
      </w:r>
      <w:r w:rsidR="008129AB" w:rsidRPr="00551520">
        <w:rPr>
          <w:rFonts w:ascii="Times New Roman" w:hAnsi="Times New Roman" w:cs="Times New Roman"/>
          <w:szCs w:val="24"/>
        </w:rPr>
        <w:t xml:space="preserve">.  Impeding </w:t>
      </w:r>
      <w:r w:rsidR="00153FF0" w:rsidRPr="00551520">
        <w:rPr>
          <w:rFonts w:ascii="Times New Roman" w:hAnsi="Times New Roman" w:cs="Times New Roman"/>
          <w:szCs w:val="24"/>
        </w:rPr>
        <w:t xml:space="preserve">the </w:t>
      </w:r>
      <w:r w:rsidR="008129AB" w:rsidRPr="00551520">
        <w:rPr>
          <w:rFonts w:ascii="Times New Roman" w:hAnsi="Times New Roman" w:cs="Times New Roman"/>
          <w:szCs w:val="24"/>
        </w:rPr>
        <w:t>flow of foot traffic to the fire stairwells</w:t>
      </w:r>
      <w:r w:rsidR="00551520" w:rsidRPr="00551520">
        <w:rPr>
          <w:rFonts w:ascii="Times New Roman" w:hAnsi="Times New Roman" w:cs="Times New Roman"/>
          <w:szCs w:val="24"/>
        </w:rPr>
        <w:t>, lab entrances and exits</w:t>
      </w:r>
      <w:r w:rsidR="008129AB" w:rsidRPr="00551520">
        <w:rPr>
          <w:rFonts w:ascii="Times New Roman" w:hAnsi="Times New Roman" w:cs="Times New Roman"/>
          <w:szCs w:val="24"/>
        </w:rPr>
        <w:t xml:space="preserve"> is going to be a</w:t>
      </w:r>
      <w:r w:rsidR="00551520" w:rsidRPr="00551520">
        <w:rPr>
          <w:rFonts w:ascii="Times New Roman" w:hAnsi="Times New Roman" w:cs="Times New Roman"/>
          <w:szCs w:val="24"/>
        </w:rPr>
        <w:t xml:space="preserve"> safety</w:t>
      </w:r>
      <w:r w:rsidR="008129AB" w:rsidRPr="00551520">
        <w:rPr>
          <w:rFonts w:ascii="Times New Roman" w:hAnsi="Times New Roman" w:cs="Times New Roman"/>
          <w:szCs w:val="24"/>
        </w:rPr>
        <w:t xml:space="preserve"> violation.  </w:t>
      </w:r>
    </w:p>
    <w:p w14:paraId="40E5374A" w14:textId="77777777" w:rsidR="00551520" w:rsidRPr="00551520" w:rsidRDefault="00551520" w:rsidP="00551520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14:paraId="0ED474C5" w14:textId="2D00418D" w:rsidR="008129AB" w:rsidRPr="00F614AF" w:rsidRDefault="008129AB" w:rsidP="008129AB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7B307C">
        <w:rPr>
          <w:rFonts w:ascii="Times New Roman" w:hAnsi="Times New Roman" w:cs="Times New Roman"/>
          <w:b/>
          <w:bCs/>
          <w:szCs w:val="24"/>
          <w:u w:val="single"/>
        </w:rPr>
        <w:t>Fire Stairwells</w:t>
      </w:r>
      <w:r w:rsidRPr="00F614AF">
        <w:rPr>
          <w:rFonts w:ascii="Times New Roman" w:hAnsi="Times New Roman" w:cs="Times New Roman"/>
          <w:szCs w:val="24"/>
        </w:rPr>
        <w:t xml:space="preserve"> – Emergency Evacuation</w:t>
      </w:r>
    </w:p>
    <w:p w14:paraId="04F099F7" w14:textId="5B18B051" w:rsidR="008129AB" w:rsidRPr="00F614AF" w:rsidRDefault="008129AB" w:rsidP="008129A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Cs w:val="24"/>
        </w:rPr>
      </w:pPr>
      <w:r w:rsidRPr="00F614AF">
        <w:rPr>
          <w:rFonts w:ascii="Times New Roman" w:hAnsi="Times New Roman" w:cs="Times New Roman"/>
          <w:szCs w:val="24"/>
        </w:rPr>
        <w:t>At no time can you store anything in the stairwell.</w:t>
      </w:r>
    </w:p>
    <w:p w14:paraId="38E89CED" w14:textId="1DD0DD20" w:rsidR="008129AB" w:rsidRDefault="008129AB" w:rsidP="008129AB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Cs w:val="24"/>
        </w:rPr>
      </w:pPr>
      <w:r w:rsidRPr="00F614AF">
        <w:rPr>
          <w:rFonts w:ascii="Times New Roman" w:hAnsi="Times New Roman" w:cs="Times New Roman"/>
          <w:szCs w:val="24"/>
        </w:rPr>
        <w:t>At no time should you be transporting chemicals in the stairwell, even non-hazardous ones.</w:t>
      </w:r>
    </w:p>
    <w:p w14:paraId="71A0688A" w14:textId="77777777" w:rsidR="00153FF0" w:rsidRDefault="00153FF0" w:rsidP="00153FF0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14:paraId="780E4E5A" w14:textId="16E6D94E" w:rsidR="00153FF0" w:rsidRPr="00F614AF" w:rsidRDefault="00153FF0" w:rsidP="00153FF0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Cs w:val="24"/>
        </w:rPr>
      </w:pPr>
      <w:r w:rsidRPr="007B307C">
        <w:rPr>
          <w:rFonts w:ascii="Times New Roman" w:hAnsi="Times New Roman" w:cs="Times New Roman"/>
          <w:b/>
          <w:bCs/>
          <w:szCs w:val="24"/>
          <w:u w:val="single"/>
        </w:rPr>
        <w:t>Café Door Access</w:t>
      </w:r>
      <w:r>
        <w:rPr>
          <w:rFonts w:ascii="Times New Roman" w:hAnsi="Times New Roman" w:cs="Times New Roman"/>
          <w:szCs w:val="24"/>
        </w:rPr>
        <w:t xml:space="preserve"> – In an effort to increase building security, the</w:t>
      </w:r>
      <w:r w:rsidR="00551520">
        <w:rPr>
          <w:rFonts w:ascii="Times New Roman" w:hAnsi="Times New Roman" w:cs="Times New Roman"/>
          <w:szCs w:val="24"/>
        </w:rPr>
        <w:t xml:space="preserve"> previously unlocked</w:t>
      </w:r>
      <w:r>
        <w:rPr>
          <w:rFonts w:ascii="Times New Roman" w:hAnsi="Times New Roman" w:cs="Times New Roman"/>
          <w:szCs w:val="24"/>
        </w:rPr>
        <w:t xml:space="preserve"> café door leading in from the vestibule of the front entrance will be locked moving forward.  Please go </w:t>
      </w:r>
      <w:r w:rsidR="002135EE">
        <w:rPr>
          <w:rFonts w:ascii="Times New Roman" w:hAnsi="Times New Roman" w:cs="Times New Roman"/>
          <w:szCs w:val="24"/>
        </w:rPr>
        <w:t>through</w:t>
      </w:r>
      <w:r>
        <w:rPr>
          <w:rFonts w:ascii="Times New Roman" w:hAnsi="Times New Roman" w:cs="Times New Roman"/>
          <w:szCs w:val="24"/>
        </w:rPr>
        <w:t xml:space="preserve"> the front entrance </w:t>
      </w:r>
      <w:r w:rsidR="00551520">
        <w:rPr>
          <w:rFonts w:ascii="Times New Roman" w:hAnsi="Times New Roman" w:cs="Times New Roman"/>
          <w:szCs w:val="24"/>
        </w:rPr>
        <w:t xml:space="preserve">to be cleared </w:t>
      </w:r>
      <w:r>
        <w:rPr>
          <w:rFonts w:ascii="Times New Roman" w:hAnsi="Times New Roman" w:cs="Times New Roman"/>
          <w:szCs w:val="24"/>
        </w:rPr>
        <w:t>by security.</w:t>
      </w:r>
      <w:r w:rsidR="00551520">
        <w:rPr>
          <w:rFonts w:ascii="Times New Roman" w:hAnsi="Times New Roman" w:cs="Times New Roman"/>
          <w:szCs w:val="24"/>
        </w:rPr>
        <w:t xml:space="preserve">  If you have any questions, please send them to Mark Hauber.</w:t>
      </w:r>
    </w:p>
    <w:p w14:paraId="23624375" w14:textId="3AE89AAE" w:rsidR="008129AB" w:rsidRPr="00F614AF" w:rsidRDefault="008129AB" w:rsidP="008129AB">
      <w:pPr>
        <w:rPr>
          <w:rFonts w:ascii="Times New Roman" w:hAnsi="Times New Roman" w:cs="Times New Roman"/>
          <w:b/>
          <w:bCs/>
          <w:szCs w:val="24"/>
          <w:u w:val="single"/>
        </w:rPr>
      </w:pPr>
      <w:r w:rsidRPr="00F614AF">
        <w:rPr>
          <w:rFonts w:ascii="Times New Roman" w:hAnsi="Times New Roman" w:cs="Times New Roman"/>
          <w:b/>
          <w:bCs/>
          <w:szCs w:val="24"/>
          <w:u w:val="single"/>
        </w:rPr>
        <w:t>Chemical Transport Related</w:t>
      </w:r>
    </w:p>
    <w:p w14:paraId="08A01CCB" w14:textId="6371DFC8" w:rsidR="008129AB" w:rsidRPr="007B307C" w:rsidRDefault="008129AB" w:rsidP="008129AB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Cs w:val="24"/>
          <w:u w:val="single"/>
        </w:rPr>
      </w:pPr>
      <w:r w:rsidRPr="007B307C">
        <w:rPr>
          <w:rFonts w:ascii="Times New Roman" w:hAnsi="Times New Roman" w:cs="Times New Roman"/>
          <w:b/>
          <w:bCs/>
          <w:szCs w:val="24"/>
          <w:u w:val="single"/>
        </w:rPr>
        <w:t>Chemical transport</w:t>
      </w:r>
    </w:p>
    <w:p w14:paraId="5EEA7805" w14:textId="16AF8509" w:rsidR="008129AB" w:rsidRPr="00F614AF" w:rsidRDefault="008129AB" w:rsidP="008129A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Cs w:val="24"/>
        </w:rPr>
      </w:pPr>
      <w:r w:rsidRPr="00F614AF">
        <w:rPr>
          <w:rFonts w:ascii="Times New Roman" w:hAnsi="Times New Roman" w:cs="Times New Roman"/>
          <w:szCs w:val="24"/>
        </w:rPr>
        <w:t xml:space="preserve">The ASRC was designed so that </w:t>
      </w:r>
      <w:r w:rsidR="007634C8">
        <w:rPr>
          <w:rFonts w:ascii="Times New Roman" w:hAnsi="Times New Roman" w:cs="Times New Roman"/>
          <w:szCs w:val="24"/>
        </w:rPr>
        <w:t>biological/</w:t>
      </w:r>
      <w:r w:rsidRPr="00F614AF">
        <w:rPr>
          <w:rFonts w:ascii="Times New Roman" w:hAnsi="Times New Roman" w:cs="Times New Roman"/>
          <w:szCs w:val="24"/>
        </w:rPr>
        <w:t>chemicals</w:t>
      </w:r>
      <w:r w:rsidR="0008645E" w:rsidRPr="00F614AF">
        <w:rPr>
          <w:rFonts w:ascii="Times New Roman" w:hAnsi="Times New Roman" w:cs="Times New Roman"/>
          <w:szCs w:val="24"/>
        </w:rPr>
        <w:t>/hazardous materials</w:t>
      </w:r>
      <w:r w:rsidRPr="00F614AF">
        <w:rPr>
          <w:rFonts w:ascii="Times New Roman" w:hAnsi="Times New Roman" w:cs="Times New Roman"/>
          <w:szCs w:val="24"/>
        </w:rPr>
        <w:t xml:space="preserve"> should never be transported in common areas outside of the lab.  This includes office space, passenger elevators, stairwells, tea rooms, conference rooms, etc.</w:t>
      </w:r>
    </w:p>
    <w:p w14:paraId="48A99FE9" w14:textId="28DEA753" w:rsidR="008129AB" w:rsidRPr="00F614AF" w:rsidRDefault="008129AB" w:rsidP="008129A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Cs w:val="24"/>
        </w:rPr>
      </w:pPr>
      <w:r w:rsidRPr="00F614AF">
        <w:rPr>
          <w:rFonts w:ascii="Times New Roman" w:hAnsi="Times New Roman" w:cs="Times New Roman"/>
          <w:szCs w:val="24"/>
        </w:rPr>
        <w:t xml:space="preserve">All chemicals should be in closed containers, secondary containment (tray on cart, cart with sides, chemical tote, </w:t>
      </w:r>
      <w:r w:rsidR="0008645E" w:rsidRPr="00F614AF">
        <w:rPr>
          <w:rFonts w:ascii="Times New Roman" w:hAnsi="Times New Roman" w:cs="Times New Roman"/>
          <w:szCs w:val="24"/>
        </w:rPr>
        <w:t>etc.</w:t>
      </w:r>
      <w:r w:rsidRPr="00F614AF">
        <w:rPr>
          <w:rFonts w:ascii="Times New Roman" w:hAnsi="Times New Roman" w:cs="Times New Roman"/>
          <w:szCs w:val="24"/>
        </w:rPr>
        <w:t>)</w:t>
      </w:r>
      <w:r w:rsidR="00F614AF" w:rsidRPr="00F614AF">
        <w:rPr>
          <w:rFonts w:ascii="Times New Roman" w:hAnsi="Times New Roman" w:cs="Times New Roman"/>
          <w:szCs w:val="24"/>
        </w:rPr>
        <w:t xml:space="preserve"> when being transported</w:t>
      </w:r>
      <w:r w:rsidRPr="00F614AF">
        <w:rPr>
          <w:rFonts w:ascii="Times New Roman" w:hAnsi="Times New Roman" w:cs="Times New Roman"/>
          <w:szCs w:val="24"/>
        </w:rPr>
        <w:t>.</w:t>
      </w:r>
      <w:r w:rsidR="00F614AF">
        <w:rPr>
          <w:rFonts w:ascii="Times New Roman" w:hAnsi="Times New Roman" w:cs="Times New Roman"/>
          <w:szCs w:val="24"/>
        </w:rPr>
        <w:t xml:space="preserve">  </w:t>
      </w:r>
      <w:r w:rsidR="00551520">
        <w:rPr>
          <w:rFonts w:ascii="Times New Roman" w:hAnsi="Times New Roman" w:cs="Times New Roman"/>
          <w:szCs w:val="24"/>
        </w:rPr>
        <w:t>Personal Protective Equipment (</w:t>
      </w:r>
      <w:r w:rsidR="00F614AF">
        <w:rPr>
          <w:rFonts w:ascii="Times New Roman" w:hAnsi="Times New Roman" w:cs="Times New Roman"/>
          <w:szCs w:val="24"/>
        </w:rPr>
        <w:t>PPE</w:t>
      </w:r>
      <w:r w:rsidR="00551520">
        <w:rPr>
          <w:rFonts w:ascii="Times New Roman" w:hAnsi="Times New Roman" w:cs="Times New Roman"/>
          <w:szCs w:val="24"/>
        </w:rPr>
        <w:t>)</w:t>
      </w:r>
      <w:r w:rsidR="00F614AF">
        <w:rPr>
          <w:rFonts w:ascii="Times New Roman" w:hAnsi="Times New Roman" w:cs="Times New Roman"/>
          <w:szCs w:val="24"/>
        </w:rPr>
        <w:t xml:space="preserve"> </w:t>
      </w:r>
      <w:r w:rsidR="00551520">
        <w:rPr>
          <w:rFonts w:ascii="Times New Roman" w:hAnsi="Times New Roman" w:cs="Times New Roman"/>
          <w:szCs w:val="24"/>
        </w:rPr>
        <w:t xml:space="preserve">should be </w:t>
      </w:r>
      <w:r w:rsidR="00F614AF">
        <w:rPr>
          <w:rFonts w:ascii="Times New Roman" w:hAnsi="Times New Roman" w:cs="Times New Roman"/>
          <w:szCs w:val="24"/>
        </w:rPr>
        <w:t>worn during transport.</w:t>
      </w:r>
    </w:p>
    <w:p w14:paraId="79A9193D" w14:textId="2839F886" w:rsidR="008129AB" w:rsidRPr="00F614AF" w:rsidRDefault="00551520" w:rsidP="008129AB">
      <w:pPr>
        <w:pStyle w:val="ListParagraph"/>
        <w:numPr>
          <w:ilvl w:val="1"/>
          <w:numId w:val="9"/>
        </w:num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Chemicals </w:t>
      </w:r>
      <w:r w:rsidR="008129AB" w:rsidRPr="00F614AF">
        <w:rPr>
          <w:rFonts w:ascii="Times New Roman" w:hAnsi="Times New Roman" w:cs="Times New Roman"/>
          <w:szCs w:val="24"/>
        </w:rPr>
        <w:t xml:space="preserve">should be transported only </w:t>
      </w:r>
      <w:r w:rsidR="009137B3" w:rsidRPr="00F614AF">
        <w:rPr>
          <w:rFonts w:ascii="Times New Roman" w:hAnsi="Times New Roman" w:cs="Times New Roman"/>
          <w:szCs w:val="24"/>
        </w:rPr>
        <w:t>through</w:t>
      </w:r>
      <w:r w:rsidR="008129AB" w:rsidRPr="00F614AF">
        <w:rPr>
          <w:rFonts w:ascii="Times New Roman" w:hAnsi="Times New Roman" w:cs="Times New Roman"/>
          <w:szCs w:val="24"/>
        </w:rPr>
        <w:t xml:space="preserve"> the linear equipment hallway</w:t>
      </w:r>
      <w:r>
        <w:rPr>
          <w:rFonts w:ascii="Times New Roman" w:hAnsi="Times New Roman" w:cs="Times New Roman"/>
          <w:szCs w:val="24"/>
        </w:rPr>
        <w:t xml:space="preserve"> (LER)</w:t>
      </w:r>
      <w:r w:rsidR="008129AB" w:rsidRPr="00F614AF">
        <w:rPr>
          <w:rFonts w:ascii="Times New Roman" w:hAnsi="Times New Roman" w:cs="Times New Roman"/>
          <w:szCs w:val="24"/>
        </w:rPr>
        <w:t xml:space="preserve"> and the freight elevator.  The LER is an extension of the lab and is considered actual lab space.  It needs to be treated the same way as the lab</w:t>
      </w:r>
      <w:r w:rsidR="00F614AF" w:rsidRPr="00F614AF">
        <w:rPr>
          <w:rFonts w:ascii="Times New Roman" w:hAnsi="Times New Roman" w:cs="Times New Roman"/>
          <w:szCs w:val="24"/>
        </w:rPr>
        <w:t>.</w:t>
      </w:r>
      <w:r w:rsidR="008129AB" w:rsidRPr="00F614AF">
        <w:rPr>
          <w:rFonts w:ascii="Times New Roman" w:hAnsi="Times New Roman" w:cs="Times New Roman"/>
          <w:szCs w:val="24"/>
        </w:rPr>
        <w:t xml:space="preserve">  Furthermore, it has even more stringent requirements</w:t>
      </w:r>
      <w:r w:rsidR="00F614AF" w:rsidRPr="00F614AF">
        <w:rPr>
          <w:rFonts w:ascii="Times New Roman" w:hAnsi="Times New Roman" w:cs="Times New Roman"/>
          <w:szCs w:val="24"/>
        </w:rPr>
        <w:t xml:space="preserve"> due to it being a formal route of egress</w:t>
      </w:r>
      <w:r w:rsidR="00153FF0">
        <w:rPr>
          <w:rFonts w:ascii="Times New Roman" w:hAnsi="Times New Roman" w:cs="Times New Roman"/>
          <w:szCs w:val="24"/>
        </w:rPr>
        <w:t xml:space="preserve"> for fire and life safety</w:t>
      </w:r>
      <w:r w:rsidR="00F614AF" w:rsidRPr="00F614AF">
        <w:rPr>
          <w:rFonts w:ascii="Times New Roman" w:hAnsi="Times New Roman" w:cs="Times New Roman"/>
          <w:szCs w:val="24"/>
        </w:rPr>
        <w:t>.</w:t>
      </w:r>
    </w:p>
    <w:p w14:paraId="2479BFEB" w14:textId="37D4FE3F" w:rsidR="008129AB" w:rsidRDefault="00F614AF" w:rsidP="00F614AF">
      <w:pPr>
        <w:rPr>
          <w:rFonts w:ascii="Times New Roman" w:hAnsi="Times New Roman" w:cs="Times New Roman"/>
          <w:b/>
          <w:bCs/>
          <w:szCs w:val="24"/>
          <w:u w:val="single"/>
        </w:rPr>
      </w:pPr>
      <w:r w:rsidRPr="00F614AF">
        <w:rPr>
          <w:rFonts w:ascii="Times New Roman" w:hAnsi="Times New Roman" w:cs="Times New Roman"/>
          <w:b/>
          <w:bCs/>
          <w:szCs w:val="24"/>
          <w:u w:val="single"/>
        </w:rPr>
        <w:t>Bike/E-bike-transport devices</w:t>
      </w:r>
    </w:p>
    <w:p w14:paraId="4472A257" w14:textId="29A7EE83" w:rsidR="007634C8" w:rsidRDefault="00F614AF" w:rsidP="00551520">
      <w:pPr>
        <w:ind w:left="360"/>
        <w:rPr>
          <w:rFonts w:ascii="Times New Roman" w:hAnsi="Times New Roman" w:cs="Times New Roman"/>
          <w:szCs w:val="24"/>
        </w:rPr>
      </w:pPr>
      <w:r w:rsidRPr="00F614AF">
        <w:rPr>
          <w:rFonts w:ascii="Times New Roman" w:hAnsi="Times New Roman" w:cs="Times New Roman"/>
          <w:szCs w:val="24"/>
        </w:rPr>
        <w:t>1.</w:t>
      </w:r>
      <w:r>
        <w:rPr>
          <w:rFonts w:ascii="Times New Roman" w:hAnsi="Times New Roman" w:cs="Times New Roman"/>
          <w:szCs w:val="24"/>
        </w:rPr>
        <w:tab/>
        <w:t>The official policy for bicycle and e-bike related storage is being finalized by</w:t>
      </w:r>
      <w:r w:rsidR="00551520">
        <w:rPr>
          <w:rFonts w:ascii="Times New Roman" w:hAnsi="Times New Roman" w:cs="Times New Roman"/>
          <w:szCs w:val="24"/>
        </w:rPr>
        <w:t xml:space="preserve"> CCNY</w:t>
      </w:r>
      <w:r>
        <w:rPr>
          <w:rFonts w:ascii="Times New Roman" w:hAnsi="Times New Roman" w:cs="Times New Roman"/>
          <w:szCs w:val="24"/>
        </w:rPr>
        <w:t xml:space="preserve"> Public Safety</w:t>
      </w:r>
      <w:r w:rsidR="00551520">
        <w:rPr>
          <w:rFonts w:ascii="Times New Roman" w:hAnsi="Times New Roman" w:cs="Times New Roman"/>
          <w:szCs w:val="24"/>
        </w:rPr>
        <w:t xml:space="preserve"> which has oversight of the ASRC</w:t>
      </w:r>
      <w:r>
        <w:rPr>
          <w:rFonts w:ascii="Times New Roman" w:hAnsi="Times New Roman" w:cs="Times New Roman"/>
          <w:szCs w:val="24"/>
        </w:rPr>
        <w:t xml:space="preserve">.  Currently, no bicycles are to be stored in the building unless they are in </w:t>
      </w:r>
      <w:r>
        <w:rPr>
          <w:rFonts w:ascii="Times New Roman" w:hAnsi="Times New Roman" w:cs="Times New Roman"/>
          <w:szCs w:val="24"/>
        </w:rPr>
        <w:lastRenderedPageBreak/>
        <w:t xml:space="preserve">an office and/or the individual has permission from public safety to do so.  </w:t>
      </w:r>
      <w:r w:rsidR="00551520">
        <w:rPr>
          <w:rFonts w:ascii="Times New Roman" w:hAnsi="Times New Roman" w:cs="Times New Roman"/>
          <w:szCs w:val="24"/>
        </w:rPr>
        <w:t>N</w:t>
      </w:r>
      <w:r w:rsidR="007634C8">
        <w:rPr>
          <w:rFonts w:ascii="Times New Roman" w:hAnsi="Times New Roman" w:cs="Times New Roman"/>
          <w:szCs w:val="24"/>
        </w:rPr>
        <w:t>o</w:t>
      </w:r>
      <w:r w:rsidR="00153FF0">
        <w:rPr>
          <w:rFonts w:ascii="Times New Roman" w:hAnsi="Times New Roman" w:cs="Times New Roman"/>
          <w:szCs w:val="24"/>
        </w:rPr>
        <w:t xml:space="preserve"> storage</w:t>
      </w:r>
      <w:r w:rsidR="007634C8">
        <w:rPr>
          <w:rFonts w:ascii="Times New Roman" w:hAnsi="Times New Roman" w:cs="Times New Roman"/>
          <w:szCs w:val="24"/>
        </w:rPr>
        <w:t xml:space="preserve"> </w:t>
      </w:r>
      <w:r w:rsidR="00551520">
        <w:rPr>
          <w:rFonts w:ascii="Times New Roman" w:hAnsi="Times New Roman" w:cs="Times New Roman"/>
          <w:szCs w:val="24"/>
        </w:rPr>
        <w:t xml:space="preserve">is allowed </w:t>
      </w:r>
      <w:r w:rsidR="007634C8">
        <w:rPr>
          <w:rFonts w:ascii="Times New Roman" w:hAnsi="Times New Roman" w:cs="Times New Roman"/>
          <w:szCs w:val="24"/>
        </w:rPr>
        <w:t>in egress</w:t>
      </w:r>
      <w:r w:rsidR="00153FF0">
        <w:rPr>
          <w:rFonts w:ascii="Times New Roman" w:hAnsi="Times New Roman" w:cs="Times New Roman"/>
          <w:szCs w:val="24"/>
        </w:rPr>
        <w:t xml:space="preserve"> routes</w:t>
      </w:r>
      <w:r w:rsidR="007634C8">
        <w:rPr>
          <w:rFonts w:ascii="Times New Roman" w:hAnsi="Times New Roman" w:cs="Times New Roman"/>
          <w:szCs w:val="24"/>
        </w:rPr>
        <w:t xml:space="preserve">, stairwells and flows of normal foot traffic. </w:t>
      </w:r>
    </w:p>
    <w:p w14:paraId="098D67AF" w14:textId="014349CA" w:rsidR="007634C8" w:rsidRDefault="007634C8" w:rsidP="007634C8">
      <w:pPr>
        <w:rPr>
          <w:rFonts w:ascii="Times New Roman" w:hAnsi="Times New Roman" w:cs="Times New Roman"/>
          <w:b/>
          <w:bCs/>
          <w:szCs w:val="24"/>
          <w:u w:val="single"/>
        </w:rPr>
      </w:pPr>
      <w:r w:rsidRPr="007634C8">
        <w:rPr>
          <w:rFonts w:ascii="Times New Roman" w:hAnsi="Times New Roman" w:cs="Times New Roman"/>
          <w:b/>
          <w:bCs/>
          <w:szCs w:val="24"/>
          <w:u w:val="single"/>
        </w:rPr>
        <w:t>Linear Equipment Corridor</w:t>
      </w:r>
      <w:r w:rsidR="00551520">
        <w:rPr>
          <w:rFonts w:ascii="Times New Roman" w:hAnsi="Times New Roman" w:cs="Times New Roman"/>
          <w:b/>
          <w:bCs/>
          <w:szCs w:val="24"/>
          <w:u w:val="single"/>
        </w:rPr>
        <w:t xml:space="preserve"> (LER)</w:t>
      </w:r>
    </w:p>
    <w:p w14:paraId="58CBF05A" w14:textId="027F8DC8" w:rsidR="007634C8" w:rsidRDefault="007634C8" w:rsidP="007634C8">
      <w:pPr>
        <w:ind w:left="36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 Seeing as the LER is an extension of the </w:t>
      </w:r>
      <w:r w:rsidR="00551520">
        <w:rPr>
          <w:rFonts w:ascii="Times New Roman" w:hAnsi="Times New Roman" w:cs="Times New Roman"/>
          <w:szCs w:val="24"/>
        </w:rPr>
        <w:t>lab; it</w:t>
      </w:r>
      <w:r>
        <w:rPr>
          <w:rFonts w:ascii="Times New Roman" w:hAnsi="Times New Roman" w:cs="Times New Roman"/>
          <w:szCs w:val="24"/>
        </w:rPr>
        <w:t xml:space="preserve"> is treated as lab space.  </w:t>
      </w:r>
      <w:r w:rsidR="00551520">
        <w:rPr>
          <w:rFonts w:ascii="Times New Roman" w:hAnsi="Times New Roman" w:cs="Times New Roman"/>
          <w:szCs w:val="24"/>
        </w:rPr>
        <w:t>Despite the incredible views of our neighborhood and the city scape, this</w:t>
      </w:r>
      <w:r>
        <w:rPr>
          <w:rFonts w:ascii="Times New Roman" w:hAnsi="Times New Roman" w:cs="Times New Roman"/>
          <w:szCs w:val="24"/>
        </w:rPr>
        <w:t xml:space="preserve"> is not a location where people can eat, drink, etc.  </w:t>
      </w:r>
    </w:p>
    <w:p w14:paraId="33B7FB74" w14:textId="137C1C54" w:rsidR="00153FF0" w:rsidRDefault="00153FF0" w:rsidP="00551520">
      <w:pPr>
        <w:rPr>
          <w:rFonts w:ascii="Times New Roman" w:hAnsi="Times New Roman" w:cs="Times New Roman"/>
          <w:szCs w:val="24"/>
        </w:rPr>
      </w:pPr>
    </w:p>
    <w:p w14:paraId="222BE1C7" w14:textId="690D88D7" w:rsidR="007B307C" w:rsidRPr="007B307C" w:rsidRDefault="007B307C" w:rsidP="007B307C">
      <w:pPr>
        <w:rPr>
          <w:rFonts w:ascii="Times New Roman" w:hAnsi="Times New Roman" w:cs="Times New Roman"/>
          <w:b/>
          <w:bCs/>
          <w:szCs w:val="24"/>
          <w:u w:val="single"/>
        </w:rPr>
      </w:pPr>
    </w:p>
    <w:p w14:paraId="54F42FCC" w14:textId="77777777" w:rsidR="00F614AF" w:rsidRPr="00F614AF" w:rsidRDefault="00F614AF" w:rsidP="00F614A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F75D19D" w14:textId="77777777" w:rsidR="00566EA8" w:rsidRPr="00501481" w:rsidRDefault="00566EA8" w:rsidP="00501481">
      <w:pPr>
        <w:rPr>
          <w:rFonts w:ascii="Times New Roman" w:hAnsi="Times New Roman" w:cs="Times New Roman"/>
          <w:sz w:val="32"/>
          <w:szCs w:val="32"/>
        </w:rPr>
      </w:pPr>
    </w:p>
    <w:sectPr w:rsidR="00566EA8" w:rsidRPr="00501481" w:rsidSect="003363B2"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810" w:footer="49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B590AC" w14:textId="77777777" w:rsidR="003363B2" w:rsidRDefault="003363B2" w:rsidP="001C2EA8">
      <w:pPr>
        <w:spacing w:after="0"/>
      </w:pPr>
      <w:r>
        <w:separator/>
      </w:r>
    </w:p>
  </w:endnote>
  <w:endnote w:type="continuationSeparator" w:id="0">
    <w:p w14:paraId="2FBF1AE1" w14:textId="77777777" w:rsidR="003363B2" w:rsidRDefault="003363B2" w:rsidP="001C2E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9E2CD" w14:textId="77777777" w:rsidR="007A50B6" w:rsidRPr="009473A3" w:rsidRDefault="007A50B6" w:rsidP="007A50B6">
    <w:pPr>
      <w:tabs>
        <w:tab w:val="left" w:pos="9940"/>
      </w:tabs>
      <w:ind w:right="-367"/>
      <w:rPr>
        <w:rFonts w:ascii="Lucida Sans" w:hAnsi="Lucida Sans"/>
        <w:color w:val="5B5C61"/>
        <w:sz w:val="16"/>
        <w:szCs w:val="16"/>
      </w:rPr>
    </w:pPr>
    <w:r w:rsidRPr="009473A3">
      <w:rPr>
        <w:rFonts w:ascii="Lucida Sans" w:hAnsi="Lucida Sans"/>
        <w:b/>
        <w:color w:val="5B5C61"/>
        <w:sz w:val="16"/>
        <w:szCs w:val="16"/>
      </w:rPr>
      <w:t xml:space="preserve">Advanced Science Research Center </w:t>
    </w:r>
    <w:r w:rsidRPr="009473A3">
      <w:rPr>
        <w:rFonts w:ascii="Lucida Sans" w:hAnsi="Lucida Sans"/>
        <w:color w:val="5B5C61"/>
        <w:sz w:val="16"/>
        <w:szCs w:val="16"/>
      </w:rPr>
      <w:t xml:space="preserve">◊ 85 Saint Nicholas Terrace ◊ New York, NY 10031 ◊ </w:t>
    </w:r>
    <w:hyperlink r:id="rId1" w:history="1">
      <w:r>
        <w:rPr>
          <w:rStyle w:val="Hyperlink"/>
          <w:rFonts w:ascii="Lucida Sans" w:hAnsi="Lucida Sans"/>
          <w:sz w:val="16"/>
          <w:szCs w:val="16"/>
        </w:rPr>
        <w:t>www.asrc.cuny.edu</w:t>
      </w:r>
    </w:hyperlink>
  </w:p>
  <w:p w14:paraId="60EF6F2E" w14:textId="77777777" w:rsidR="007A50B6" w:rsidRDefault="007A50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CAB1A" w14:textId="1A57AEC1" w:rsidR="008414D7" w:rsidRPr="009473A3" w:rsidRDefault="008414D7" w:rsidP="00551520">
    <w:pPr>
      <w:tabs>
        <w:tab w:val="left" w:pos="9940"/>
      </w:tabs>
      <w:ind w:right="-367"/>
      <w:rPr>
        <w:rFonts w:ascii="Lucida Sans" w:hAnsi="Lucida Sans"/>
        <w:color w:val="5B5C61"/>
        <w:sz w:val="16"/>
        <w:szCs w:val="16"/>
      </w:rPr>
    </w:pPr>
    <w:r w:rsidRPr="009473A3">
      <w:rPr>
        <w:rFonts w:ascii="Lucida Sans" w:hAnsi="Lucida Sans"/>
        <w:b/>
        <w:color w:val="5B5C61"/>
        <w:sz w:val="16"/>
        <w:szCs w:val="16"/>
      </w:rPr>
      <w:t>Advanced Science Research Center</w:t>
    </w:r>
    <w:r w:rsidR="009473A3" w:rsidRPr="009473A3">
      <w:rPr>
        <w:rFonts w:ascii="Lucida Sans" w:hAnsi="Lucida Sans"/>
        <w:b/>
        <w:color w:val="5B5C61"/>
        <w:sz w:val="16"/>
        <w:szCs w:val="16"/>
      </w:rPr>
      <w:t xml:space="preserve"> </w:t>
    </w:r>
    <w:r w:rsidR="009473A3" w:rsidRPr="009473A3">
      <w:rPr>
        <w:rFonts w:ascii="Lucida Sans" w:hAnsi="Lucida Sans"/>
        <w:color w:val="5B5C61"/>
        <w:sz w:val="16"/>
        <w:szCs w:val="16"/>
      </w:rPr>
      <w:t>◊</w:t>
    </w:r>
    <w:r w:rsidRPr="009473A3">
      <w:rPr>
        <w:rFonts w:ascii="Lucida Sans" w:hAnsi="Lucida Sans"/>
        <w:color w:val="5B5C61"/>
        <w:sz w:val="16"/>
        <w:szCs w:val="16"/>
      </w:rPr>
      <w:t xml:space="preserve"> 85 Saint Nicholas Terrace </w:t>
    </w:r>
    <w:r w:rsidR="009473A3" w:rsidRPr="009473A3">
      <w:rPr>
        <w:rFonts w:ascii="Lucida Sans" w:hAnsi="Lucida Sans"/>
        <w:color w:val="5B5C61"/>
        <w:sz w:val="16"/>
        <w:szCs w:val="16"/>
      </w:rPr>
      <w:t>◊</w:t>
    </w:r>
    <w:r w:rsidRPr="009473A3">
      <w:rPr>
        <w:rFonts w:ascii="Lucida Sans" w:hAnsi="Lucida Sans"/>
        <w:color w:val="5B5C61"/>
        <w:sz w:val="16"/>
        <w:szCs w:val="16"/>
      </w:rPr>
      <w:t xml:space="preserve"> New York, NY 10031 </w:t>
    </w:r>
    <w:r w:rsidR="009473A3" w:rsidRPr="009473A3">
      <w:rPr>
        <w:rFonts w:ascii="Lucida Sans" w:hAnsi="Lucida Sans"/>
        <w:color w:val="5B5C61"/>
        <w:sz w:val="16"/>
        <w:szCs w:val="16"/>
      </w:rPr>
      <w:t>◊</w:t>
    </w:r>
    <w:r w:rsidRPr="009473A3">
      <w:rPr>
        <w:rFonts w:ascii="Lucida Sans" w:hAnsi="Lucida Sans"/>
        <w:color w:val="5B5C61"/>
        <w:sz w:val="16"/>
        <w:szCs w:val="16"/>
      </w:rPr>
      <w:t xml:space="preserve"> </w:t>
    </w:r>
    <w:hyperlink r:id="rId1" w:history="1">
      <w:r w:rsidR="009473A3">
        <w:rPr>
          <w:rStyle w:val="Hyperlink"/>
          <w:rFonts w:ascii="Lucida Sans" w:hAnsi="Lucida Sans"/>
          <w:sz w:val="16"/>
          <w:szCs w:val="16"/>
        </w:rPr>
        <w:t>www.asrc.cuny.edu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D9EF0" w14:textId="77777777" w:rsidR="003363B2" w:rsidRDefault="003363B2" w:rsidP="001C2EA8">
      <w:pPr>
        <w:spacing w:after="0"/>
      </w:pPr>
      <w:r>
        <w:separator/>
      </w:r>
    </w:p>
  </w:footnote>
  <w:footnote w:type="continuationSeparator" w:id="0">
    <w:p w14:paraId="5411DE38" w14:textId="77777777" w:rsidR="003363B2" w:rsidRDefault="003363B2" w:rsidP="001C2EA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0E81A" w14:textId="77D255DB" w:rsidR="008414D7" w:rsidRDefault="006770CA" w:rsidP="004F44C4">
    <w:pPr>
      <w:pStyle w:val="Header"/>
      <w:tabs>
        <w:tab w:val="clear" w:pos="4320"/>
        <w:tab w:val="clear" w:pos="8640"/>
        <w:tab w:val="left" w:pos="3600"/>
      </w:tabs>
    </w:pPr>
    <w:r w:rsidRPr="00866B76">
      <w:rPr>
        <w:noProof/>
      </w:rPr>
      <w:drawing>
        <wp:anchor distT="0" distB="0" distL="114300" distR="114300" simplePos="0" relativeHeight="251664384" behindDoc="1" locked="0" layoutInCell="1" allowOverlap="1" wp14:anchorId="345BCBBF" wp14:editId="36F70C8B">
          <wp:simplePos x="0" y="0"/>
          <wp:positionH relativeFrom="margin">
            <wp:posOffset>1231900</wp:posOffset>
          </wp:positionH>
          <wp:positionV relativeFrom="paragraph">
            <wp:posOffset>12700</wp:posOffset>
          </wp:positionV>
          <wp:extent cx="5537200" cy="612775"/>
          <wp:effectExtent l="0" t="0" r="6350" b="0"/>
          <wp:wrapNone/>
          <wp:docPr id="106" name="Picture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c_logo_286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7954" cy="612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51520">
      <w:tab/>
    </w:r>
    <w:r w:rsidR="004F44C4">
      <w:tab/>
    </w:r>
  </w:p>
  <w:p w14:paraId="3F651539" w14:textId="77777777" w:rsidR="008414D7" w:rsidRDefault="008414D7" w:rsidP="005150E1">
    <w:pPr>
      <w:pStyle w:val="Header"/>
      <w:ind w:left="-90"/>
    </w:pPr>
  </w:p>
  <w:p w14:paraId="23EBF524" w14:textId="77777777" w:rsidR="004F44C4" w:rsidRDefault="004F44C4" w:rsidP="005150E1">
    <w:pPr>
      <w:pStyle w:val="Header"/>
      <w:ind w:left="-90"/>
    </w:pPr>
  </w:p>
  <w:p w14:paraId="2E2819DB" w14:textId="77777777" w:rsidR="008414D7" w:rsidRDefault="008414D7" w:rsidP="005150E1">
    <w:pPr>
      <w:pStyle w:val="Header"/>
      <w:ind w:left="-90"/>
    </w:pPr>
  </w:p>
  <w:p w14:paraId="5374ADBD" w14:textId="77777777" w:rsidR="0089631D" w:rsidRDefault="0089631D" w:rsidP="005150E1">
    <w:pPr>
      <w:pStyle w:val="Header"/>
      <w:ind w:left="-90"/>
    </w:pPr>
  </w:p>
  <w:p w14:paraId="3E3A1AEE" w14:textId="77777777" w:rsidR="0089631D" w:rsidRDefault="0089631D" w:rsidP="005150E1">
    <w:pPr>
      <w:pStyle w:val="Header"/>
      <w:ind w:left="-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80D7E"/>
    <w:multiLevelType w:val="hybridMultilevel"/>
    <w:tmpl w:val="8048CEAC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44B2134C"/>
    <w:multiLevelType w:val="hybridMultilevel"/>
    <w:tmpl w:val="23A48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A6D7A"/>
    <w:multiLevelType w:val="hybridMultilevel"/>
    <w:tmpl w:val="4A1A4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E69F5"/>
    <w:multiLevelType w:val="hybridMultilevel"/>
    <w:tmpl w:val="65340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15C8F"/>
    <w:multiLevelType w:val="hybridMultilevel"/>
    <w:tmpl w:val="55923F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78531A4"/>
    <w:multiLevelType w:val="hybridMultilevel"/>
    <w:tmpl w:val="2C368AA2"/>
    <w:lvl w:ilvl="0" w:tplc="CA34CA2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E73D0"/>
    <w:multiLevelType w:val="hybridMultilevel"/>
    <w:tmpl w:val="98A8D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C976DB"/>
    <w:multiLevelType w:val="hybridMultilevel"/>
    <w:tmpl w:val="808E4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7222B"/>
    <w:multiLevelType w:val="hybridMultilevel"/>
    <w:tmpl w:val="E3A6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853267">
    <w:abstractNumId w:val="7"/>
  </w:num>
  <w:num w:numId="2" w16cid:durableId="829564783">
    <w:abstractNumId w:val="3"/>
  </w:num>
  <w:num w:numId="3" w16cid:durableId="1479104473">
    <w:abstractNumId w:val="1"/>
  </w:num>
  <w:num w:numId="4" w16cid:durableId="376585346">
    <w:abstractNumId w:val="0"/>
  </w:num>
  <w:num w:numId="5" w16cid:durableId="2020423538">
    <w:abstractNumId w:val="2"/>
  </w:num>
  <w:num w:numId="6" w16cid:durableId="1256743278">
    <w:abstractNumId w:val="6"/>
  </w:num>
  <w:num w:numId="7" w16cid:durableId="826945874">
    <w:abstractNumId w:val="4"/>
  </w:num>
  <w:num w:numId="8" w16cid:durableId="2132354293">
    <w:abstractNumId w:val="8"/>
  </w:num>
  <w:num w:numId="9" w16cid:durableId="19119591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E30"/>
    <w:rsid w:val="000051F7"/>
    <w:rsid w:val="00014104"/>
    <w:rsid w:val="00017C24"/>
    <w:rsid w:val="000332B9"/>
    <w:rsid w:val="00036B05"/>
    <w:rsid w:val="00037FA3"/>
    <w:rsid w:val="00054304"/>
    <w:rsid w:val="000726F3"/>
    <w:rsid w:val="0008645E"/>
    <w:rsid w:val="00086B33"/>
    <w:rsid w:val="0009065D"/>
    <w:rsid w:val="000B7D11"/>
    <w:rsid w:val="000C7B62"/>
    <w:rsid w:val="00127175"/>
    <w:rsid w:val="00152ED6"/>
    <w:rsid w:val="00153FF0"/>
    <w:rsid w:val="001A1FF8"/>
    <w:rsid w:val="001C2EA8"/>
    <w:rsid w:val="001F4EF4"/>
    <w:rsid w:val="002135EE"/>
    <w:rsid w:val="00213BA7"/>
    <w:rsid w:val="00224187"/>
    <w:rsid w:val="00226760"/>
    <w:rsid w:val="00236EEE"/>
    <w:rsid w:val="00242325"/>
    <w:rsid w:val="00254DA6"/>
    <w:rsid w:val="00283C82"/>
    <w:rsid w:val="002A6574"/>
    <w:rsid w:val="002B65ED"/>
    <w:rsid w:val="002C618E"/>
    <w:rsid w:val="002D1967"/>
    <w:rsid w:val="002D2CD7"/>
    <w:rsid w:val="002F2B56"/>
    <w:rsid w:val="003143C1"/>
    <w:rsid w:val="0032286F"/>
    <w:rsid w:val="003363B2"/>
    <w:rsid w:val="00394947"/>
    <w:rsid w:val="003B53EA"/>
    <w:rsid w:val="003C60F9"/>
    <w:rsid w:val="003E1D28"/>
    <w:rsid w:val="00401ACD"/>
    <w:rsid w:val="00414A2F"/>
    <w:rsid w:val="004271DC"/>
    <w:rsid w:val="00457D65"/>
    <w:rsid w:val="004730F1"/>
    <w:rsid w:val="004812B9"/>
    <w:rsid w:val="00481A6A"/>
    <w:rsid w:val="004827BC"/>
    <w:rsid w:val="004A2908"/>
    <w:rsid w:val="004B5625"/>
    <w:rsid w:val="004C5806"/>
    <w:rsid w:val="004D57BD"/>
    <w:rsid w:val="004E0A9A"/>
    <w:rsid w:val="004F44C4"/>
    <w:rsid w:val="004F675B"/>
    <w:rsid w:val="004F7949"/>
    <w:rsid w:val="00501481"/>
    <w:rsid w:val="00502560"/>
    <w:rsid w:val="005126A3"/>
    <w:rsid w:val="005150E1"/>
    <w:rsid w:val="00521EAF"/>
    <w:rsid w:val="00551520"/>
    <w:rsid w:val="00566EA8"/>
    <w:rsid w:val="005726E2"/>
    <w:rsid w:val="005A2621"/>
    <w:rsid w:val="005B5A20"/>
    <w:rsid w:val="005D58E4"/>
    <w:rsid w:val="005E0562"/>
    <w:rsid w:val="005E0677"/>
    <w:rsid w:val="00653247"/>
    <w:rsid w:val="00655CF8"/>
    <w:rsid w:val="00664B05"/>
    <w:rsid w:val="006770CA"/>
    <w:rsid w:val="00682255"/>
    <w:rsid w:val="00686F85"/>
    <w:rsid w:val="00695B64"/>
    <w:rsid w:val="00697DCB"/>
    <w:rsid w:val="006A1081"/>
    <w:rsid w:val="006A74CF"/>
    <w:rsid w:val="006D00CD"/>
    <w:rsid w:val="006D786B"/>
    <w:rsid w:val="006E36F5"/>
    <w:rsid w:val="006E45B9"/>
    <w:rsid w:val="006E7A08"/>
    <w:rsid w:val="00702FF2"/>
    <w:rsid w:val="00710346"/>
    <w:rsid w:val="0071394F"/>
    <w:rsid w:val="007634C8"/>
    <w:rsid w:val="007917A3"/>
    <w:rsid w:val="007A50B6"/>
    <w:rsid w:val="007B19EC"/>
    <w:rsid w:val="007B307C"/>
    <w:rsid w:val="007E0749"/>
    <w:rsid w:val="008129AB"/>
    <w:rsid w:val="00813040"/>
    <w:rsid w:val="008201B6"/>
    <w:rsid w:val="008414D7"/>
    <w:rsid w:val="0084700B"/>
    <w:rsid w:val="008632C2"/>
    <w:rsid w:val="00866B76"/>
    <w:rsid w:val="00895C8E"/>
    <w:rsid w:val="0089631D"/>
    <w:rsid w:val="008A6A4A"/>
    <w:rsid w:val="008B22C6"/>
    <w:rsid w:val="008B7B21"/>
    <w:rsid w:val="008D3111"/>
    <w:rsid w:val="008D62AD"/>
    <w:rsid w:val="008E4D30"/>
    <w:rsid w:val="008F590F"/>
    <w:rsid w:val="009137B3"/>
    <w:rsid w:val="0091647C"/>
    <w:rsid w:val="009251E1"/>
    <w:rsid w:val="009473A3"/>
    <w:rsid w:val="009A16D8"/>
    <w:rsid w:val="009A7EFC"/>
    <w:rsid w:val="009B3716"/>
    <w:rsid w:val="00A00C62"/>
    <w:rsid w:val="00A03A16"/>
    <w:rsid w:val="00A07C40"/>
    <w:rsid w:val="00A25764"/>
    <w:rsid w:val="00A34608"/>
    <w:rsid w:val="00A70D35"/>
    <w:rsid w:val="00AB7D2C"/>
    <w:rsid w:val="00AD2B4F"/>
    <w:rsid w:val="00AE03B0"/>
    <w:rsid w:val="00AE1437"/>
    <w:rsid w:val="00AF7A27"/>
    <w:rsid w:val="00B02D0E"/>
    <w:rsid w:val="00B20F25"/>
    <w:rsid w:val="00B52A97"/>
    <w:rsid w:val="00B54679"/>
    <w:rsid w:val="00B62E30"/>
    <w:rsid w:val="00B82E32"/>
    <w:rsid w:val="00B9020A"/>
    <w:rsid w:val="00BA06FC"/>
    <w:rsid w:val="00BA326A"/>
    <w:rsid w:val="00BB656E"/>
    <w:rsid w:val="00BC7A72"/>
    <w:rsid w:val="00C07210"/>
    <w:rsid w:val="00C15EFD"/>
    <w:rsid w:val="00C242FB"/>
    <w:rsid w:val="00C46906"/>
    <w:rsid w:val="00C60581"/>
    <w:rsid w:val="00CB184E"/>
    <w:rsid w:val="00CC1AB4"/>
    <w:rsid w:val="00CE3035"/>
    <w:rsid w:val="00CF0779"/>
    <w:rsid w:val="00CF0BF8"/>
    <w:rsid w:val="00D2231F"/>
    <w:rsid w:val="00D23176"/>
    <w:rsid w:val="00D5411A"/>
    <w:rsid w:val="00D56B07"/>
    <w:rsid w:val="00D71CF3"/>
    <w:rsid w:val="00D775F8"/>
    <w:rsid w:val="00D94A8F"/>
    <w:rsid w:val="00DB5EED"/>
    <w:rsid w:val="00DE7BF8"/>
    <w:rsid w:val="00DF7FA2"/>
    <w:rsid w:val="00E22EB7"/>
    <w:rsid w:val="00E44AC3"/>
    <w:rsid w:val="00E55C2D"/>
    <w:rsid w:val="00E729BB"/>
    <w:rsid w:val="00E73931"/>
    <w:rsid w:val="00E810CF"/>
    <w:rsid w:val="00EA1737"/>
    <w:rsid w:val="00EA21A8"/>
    <w:rsid w:val="00EC081D"/>
    <w:rsid w:val="00EC2D06"/>
    <w:rsid w:val="00EF087E"/>
    <w:rsid w:val="00EF30DA"/>
    <w:rsid w:val="00F050C4"/>
    <w:rsid w:val="00F13AE5"/>
    <w:rsid w:val="00F16E0D"/>
    <w:rsid w:val="00F4568F"/>
    <w:rsid w:val="00F614AF"/>
    <w:rsid w:val="00F74737"/>
    <w:rsid w:val="00FC2ADB"/>
    <w:rsid w:val="00FF307E"/>
    <w:rsid w:val="00FF479E"/>
    <w:rsid w:val="00FF4A4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674F41B"/>
  <w15:docId w15:val="{C60626BF-7437-44DC-B111-FF4C3DBC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20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C8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14C8C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14C8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14C8C"/>
    <w:rPr>
      <w:sz w:val="24"/>
    </w:rPr>
  </w:style>
  <w:style w:type="table" w:styleId="TableGrid">
    <w:name w:val="Table Grid"/>
    <w:basedOn w:val="TableNormal"/>
    <w:uiPriority w:val="59"/>
    <w:rsid w:val="00214C8C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asicParagraph">
    <w:name w:val="[Basic Paragraph]"/>
    <w:basedOn w:val="Normal"/>
    <w:uiPriority w:val="99"/>
    <w:rsid w:val="00044DD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F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F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74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4DA6"/>
    <w:rPr>
      <w:color w:val="800080" w:themeColor="followedHyperlink"/>
      <w:u w:val="single"/>
    </w:rPr>
  </w:style>
  <w:style w:type="paragraph" w:customStyle="1" w:styleId="Body">
    <w:name w:val="Body"/>
    <w:rsid w:val="00FF307E"/>
    <w:pPr>
      <w:spacing w:after="0"/>
    </w:pPr>
    <w:rPr>
      <w:rFonts w:ascii="Helvetica" w:eastAsia="ヒラギノ角ゴ Pro W3" w:hAnsi="Helvetica" w:cs="Times New Roman"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566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rc.cuny.edu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rc.cuny.ed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orlando\Documents\ASRC_GC_General_E-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B9D56-22A2-44E9-869F-9842EF090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ASRC_GC_General_E-Letterhead</Template>
  <TotalTime>3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CUNY, The Graduate School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Aldo Orlando</dc:creator>
  <cp:lastModifiedBy>Dickson, Thomas</cp:lastModifiedBy>
  <cp:revision>3</cp:revision>
  <cp:lastPrinted>2018-01-25T20:23:00Z</cp:lastPrinted>
  <dcterms:created xsi:type="dcterms:W3CDTF">2024-02-08T15:46:00Z</dcterms:created>
  <dcterms:modified xsi:type="dcterms:W3CDTF">2024-02-08T15:46:00Z</dcterms:modified>
</cp:coreProperties>
</file>